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1B988" w14:textId="77777777" w:rsidR="002E3F46" w:rsidRPr="00C548B3" w:rsidRDefault="006E4766">
      <w:pPr>
        <w:jc w:val="center"/>
        <w:rPr>
          <w:rFonts w:ascii="华文中宋" w:eastAsia="华文中宋" w:hAnsi="华文中宋" w:cs="华文中宋"/>
          <w:b/>
          <w:bCs/>
          <w:sz w:val="36"/>
          <w:szCs w:val="36"/>
        </w:rPr>
      </w:pPr>
      <w:bookmarkStart w:id="0" w:name="_GoBack"/>
      <w:bookmarkEnd w:id="0"/>
      <w:r w:rsidRPr="00C548B3">
        <w:rPr>
          <w:rFonts w:ascii="华文中宋" w:eastAsia="华文中宋" w:hAnsi="华文中宋" w:cs="华文中宋" w:hint="eastAsia"/>
          <w:b/>
          <w:bCs/>
          <w:sz w:val="36"/>
          <w:szCs w:val="36"/>
        </w:rPr>
        <w:t>光启数学传播奖奖励条例</w:t>
      </w:r>
    </w:p>
    <w:p w14:paraId="5A073BDE" w14:textId="77777777" w:rsidR="002E3F46" w:rsidRDefault="002E3F46">
      <w:pPr>
        <w:jc w:val="center"/>
        <w:rPr>
          <w:rFonts w:ascii="华文中宋" w:eastAsia="华文中宋" w:hAnsi="华文中宋" w:cs="华文中宋"/>
          <w:color w:val="FF0000"/>
          <w:sz w:val="36"/>
          <w:szCs w:val="36"/>
        </w:rPr>
      </w:pPr>
    </w:p>
    <w:p w14:paraId="6290ACF5" w14:textId="779E4029" w:rsidR="002E3F46" w:rsidRDefault="006E4766" w:rsidP="00EB0B7E">
      <w:pPr>
        <w:adjustRightInd w:val="0"/>
        <w:snapToGrid w:val="0"/>
        <w:spacing w:line="36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徐光启是明代著名数学家，他翻译了《几何原本》（前</w:t>
      </w: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hint="eastAsia"/>
          <w:sz w:val="28"/>
          <w:szCs w:val="28"/>
        </w:rPr>
        <w:t>卷），并提出了实用的“度数之学”的思想，撰写了《勾股义》和《测量异同》。他首先把“几何”一词作为数学的专业名词来使用，并预言“窃</w:t>
      </w:r>
      <w:r w:rsidR="00EF220E">
        <w:rPr>
          <w:rFonts w:asciiTheme="minorEastAsia" w:eastAsiaTheme="minorEastAsia" w:hAnsiTheme="minorEastAsia" w:cstheme="minorEastAsia" w:hint="eastAsia"/>
          <w:sz w:val="28"/>
          <w:szCs w:val="28"/>
        </w:rPr>
        <w:t>意</w:t>
      </w:r>
      <w:r>
        <w:rPr>
          <w:rFonts w:asciiTheme="minorEastAsia" w:eastAsiaTheme="minorEastAsia" w:hAnsiTheme="minorEastAsia" w:cstheme="minorEastAsia" w:hint="eastAsia"/>
          <w:sz w:val="28"/>
          <w:szCs w:val="28"/>
        </w:rPr>
        <w:t>百年之后，必人人习之”。《几何原本》的翻译，极大地影响了中国原有的数学学习和研究习惯，改变了中国数学发展的方向，为纪念徐光启的卓越成就，传承和弘扬他的科学精神，中国数学会设立“光启数学传播奖“。奖励范围为</w:t>
      </w:r>
      <w:bookmarkStart w:id="1" w:name="OLE_LINK1"/>
      <w:r>
        <w:rPr>
          <w:rFonts w:asciiTheme="minorEastAsia" w:eastAsiaTheme="minorEastAsia" w:hAnsiTheme="minorEastAsia" w:cstheme="minorEastAsia" w:hint="eastAsia"/>
          <w:sz w:val="28"/>
          <w:szCs w:val="28"/>
        </w:rPr>
        <w:t>在数学普及传播和数学文化推广方面做出突出贡献的学者。</w:t>
      </w:r>
      <w:bookmarkEnd w:id="1"/>
      <w:r>
        <w:rPr>
          <w:rFonts w:asciiTheme="minorEastAsia" w:eastAsiaTheme="minorEastAsia" w:hAnsiTheme="minorEastAsia" w:cstheme="minorEastAsia" w:hint="eastAsia"/>
          <w:sz w:val="28"/>
          <w:szCs w:val="28"/>
        </w:rPr>
        <w:t>本奖由湖南教育出版社捐资，中国数学会负责评奖与颁奖工作。“光启数学传播奖”每两年评选一届，每届遴选获奖人不超过两名。奖金为每人十万元人民币。</w:t>
      </w:r>
    </w:p>
    <w:p w14:paraId="634826C4" w14:textId="77777777" w:rsidR="002E3F46" w:rsidRDefault="002E3F46">
      <w:pPr>
        <w:adjustRightInd w:val="0"/>
        <w:snapToGrid w:val="0"/>
        <w:spacing w:line="360" w:lineRule="auto"/>
        <w:rPr>
          <w:rFonts w:asciiTheme="minorEastAsia" w:eastAsiaTheme="minorEastAsia" w:hAnsiTheme="minorEastAsia" w:cstheme="minorEastAsia"/>
          <w:sz w:val="32"/>
          <w:szCs w:val="32"/>
        </w:rPr>
      </w:pPr>
    </w:p>
    <w:p w14:paraId="62041F64"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第一条</w:t>
      </w:r>
      <w:r>
        <w:rPr>
          <w:rFonts w:asciiTheme="minorEastAsia" w:eastAsiaTheme="minorEastAsia" w:hAnsiTheme="minorEastAsia" w:cstheme="minorEastAsia" w:hint="eastAsia"/>
          <w:kern w:val="2"/>
          <w:sz w:val="28"/>
          <w:szCs w:val="28"/>
        </w:rPr>
        <w:t> </w:t>
      </w:r>
      <w:r>
        <w:rPr>
          <w:rFonts w:asciiTheme="minorEastAsia" w:eastAsiaTheme="minorEastAsia" w:hAnsiTheme="minorEastAsia" w:cstheme="minorEastAsia" w:hint="eastAsia"/>
          <w:kern w:val="2"/>
          <w:sz w:val="28"/>
          <w:szCs w:val="28"/>
        </w:rPr>
        <w:t>为奖励中国学者在公众数学普及传播方面的突出成就，促进中国数学普及传播事业的发展，中国数学会设立“光启数学</w:t>
      </w:r>
      <w:r>
        <w:rPr>
          <w:rFonts w:asciiTheme="minorEastAsia" w:eastAsiaTheme="minorEastAsia" w:hAnsiTheme="minorEastAsia" w:cstheme="minorEastAsia" w:hint="eastAsia"/>
          <w:kern w:val="2"/>
          <w:sz w:val="28"/>
          <w:szCs w:val="28"/>
        </w:rPr>
        <w:t>传播奖”。</w:t>
      </w:r>
    </w:p>
    <w:p w14:paraId="533538A3"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第二条</w:t>
      </w:r>
      <w:r>
        <w:rPr>
          <w:rFonts w:asciiTheme="minorEastAsia" w:eastAsiaTheme="minorEastAsia" w:hAnsiTheme="minorEastAsia" w:cstheme="minorEastAsia" w:hint="eastAsia"/>
          <w:kern w:val="2"/>
          <w:sz w:val="28"/>
          <w:szCs w:val="28"/>
        </w:rPr>
        <w:t> </w:t>
      </w:r>
      <w:r>
        <w:rPr>
          <w:rFonts w:asciiTheme="minorEastAsia" w:eastAsiaTheme="minorEastAsia" w:hAnsiTheme="minorEastAsia" w:cstheme="minorEastAsia" w:hint="eastAsia"/>
          <w:kern w:val="2"/>
          <w:sz w:val="28"/>
          <w:szCs w:val="28"/>
        </w:rPr>
        <w:t>本奖主要奖励</w:t>
      </w:r>
      <w:bookmarkStart w:id="2" w:name="OLE_LINK2"/>
      <w:r>
        <w:rPr>
          <w:rFonts w:asciiTheme="minorEastAsia" w:eastAsiaTheme="minorEastAsia" w:hAnsiTheme="minorEastAsia" w:cstheme="minorEastAsia" w:hint="eastAsia"/>
          <w:kern w:val="2"/>
          <w:sz w:val="28"/>
          <w:szCs w:val="28"/>
        </w:rPr>
        <w:t>长期以来对公众数学普及传播和数学文化推广方面取得卓越贡献的中国学者</w:t>
      </w:r>
      <w:bookmarkEnd w:id="2"/>
      <w:r>
        <w:rPr>
          <w:rFonts w:asciiTheme="minorEastAsia" w:eastAsiaTheme="minorEastAsia" w:hAnsiTheme="minorEastAsia" w:cstheme="minorEastAsia" w:hint="eastAsia"/>
          <w:kern w:val="2"/>
          <w:sz w:val="28"/>
          <w:szCs w:val="28"/>
        </w:rPr>
        <w:t>。</w:t>
      </w:r>
    </w:p>
    <w:p w14:paraId="3BCAA1FA"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第三条</w:t>
      </w:r>
      <w:r>
        <w:rPr>
          <w:rFonts w:asciiTheme="minorEastAsia" w:eastAsiaTheme="minorEastAsia" w:hAnsiTheme="minorEastAsia" w:cstheme="minorEastAsia" w:hint="eastAsia"/>
          <w:kern w:val="2"/>
          <w:sz w:val="28"/>
          <w:szCs w:val="28"/>
        </w:rPr>
        <w:t> </w:t>
      </w:r>
      <w:r>
        <w:rPr>
          <w:rFonts w:asciiTheme="minorEastAsia" w:eastAsiaTheme="minorEastAsia" w:hAnsiTheme="minorEastAsia" w:cstheme="minorEastAsia" w:hint="eastAsia"/>
          <w:kern w:val="2"/>
          <w:sz w:val="28"/>
          <w:szCs w:val="28"/>
        </w:rPr>
        <w:t>本奖每两年颁发一次，称为一届。每届评选出在数学普及传播和数学文化推广方面取得卓越贡献的学者各一位，允许空缺。</w:t>
      </w:r>
    </w:p>
    <w:p w14:paraId="67B4C8B6"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第四条</w:t>
      </w:r>
      <w:r>
        <w:rPr>
          <w:rFonts w:asciiTheme="minorEastAsia" w:eastAsiaTheme="minorEastAsia" w:hAnsiTheme="minorEastAsia" w:cstheme="minorEastAsia" w:hint="eastAsia"/>
          <w:b/>
          <w:bCs/>
          <w:kern w:val="2"/>
          <w:sz w:val="28"/>
          <w:szCs w:val="28"/>
        </w:rPr>
        <w:t xml:space="preserve"> </w:t>
      </w:r>
      <w:r>
        <w:rPr>
          <w:rFonts w:asciiTheme="minorEastAsia" w:eastAsiaTheme="minorEastAsia" w:hAnsiTheme="minorEastAsia" w:cstheme="minorEastAsia" w:hint="eastAsia"/>
          <w:kern w:val="2"/>
          <w:sz w:val="28"/>
          <w:szCs w:val="28"/>
        </w:rPr>
        <w:t>本奖的获奖奖金为人民币十万元整，同时颁发获奖证书。</w:t>
      </w:r>
    </w:p>
    <w:p w14:paraId="1D84E69B" w14:textId="77777777" w:rsidR="002E3F46" w:rsidRDefault="006E4766">
      <w:pPr>
        <w:adjustRightInd w:val="0"/>
        <w:snapToGrid w:val="0"/>
        <w:spacing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sz w:val="28"/>
          <w:szCs w:val="28"/>
        </w:rPr>
        <w:t>第五条</w:t>
      </w:r>
      <w:r>
        <w:rPr>
          <w:rFonts w:asciiTheme="minorEastAsia" w:eastAsiaTheme="minorEastAsia" w:hAnsiTheme="minorEastAsia" w:cstheme="minorEastAsia" w:hint="eastAsia"/>
          <w:b/>
          <w:bCs/>
          <w:sz w:val="28"/>
          <w:szCs w:val="28"/>
        </w:rPr>
        <w:t xml:space="preserve"> </w:t>
      </w:r>
      <w:r>
        <w:rPr>
          <w:rFonts w:ascii="宋体" w:eastAsia="宋体" w:hAnsi="宋体" w:hint="eastAsia"/>
          <w:sz w:val="28"/>
          <w:szCs w:val="28"/>
        </w:rPr>
        <w:t>本奖设立</w:t>
      </w:r>
      <w:r>
        <w:rPr>
          <w:rFonts w:ascii="宋体" w:eastAsia="宋体" w:hAnsi="宋体"/>
          <w:sz w:val="28"/>
          <w:szCs w:val="28"/>
        </w:rPr>
        <w:t>评奖委员会</w:t>
      </w:r>
      <w:r>
        <w:rPr>
          <w:rFonts w:ascii="宋体" w:eastAsia="宋体" w:hAnsi="宋体" w:hint="eastAsia"/>
          <w:sz w:val="28"/>
          <w:szCs w:val="28"/>
        </w:rPr>
        <w:t>。评奖委员会专家由中国数学会聘任，聘期与中国数学会理事会聘期同步。评奖委员会秘书处</w:t>
      </w:r>
      <w:r>
        <w:rPr>
          <w:rFonts w:ascii="宋体" w:eastAsia="宋体" w:hAnsi="宋体"/>
          <w:sz w:val="28"/>
          <w:szCs w:val="28"/>
        </w:rPr>
        <w:t>设在中国数学会办公室</w:t>
      </w:r>
      <w:r>
        <w:rPr>
          <w:rFonts w:ascii="宋体" w:eastAsia="宋体" w:hAnsi="宋体" w:hint="eastAsia"/>
          <w:sz w:val="28"/>
          <w:szCs w:val="28"/>
        </w:rPr>
        <w:t>。</w:t>
      </w:r>
    </w:p>
    <w:p w14:paraId="0E8F7EC9" w14:textId="77777777" w:rsidR="002E3F46" w:rsidRDefault="006E4766">
      <w:pPr>
        <w:adjustRightInd w:val="0"/>
        <w:snapToGrid w:val="0"/>
        <w:spacing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bCs/>
          <w:sz w:val="28"/>
          <w:szCs w:val="28"/>
        </w:rPr>
        <w:t>第六条</w:t>
      </w:r>
      <w:r>
        <w:rPr>
          <w:rFonts w:asciiTheme="minorEastAsia" w:eastAsiaTheme="minorEastAsia" w:hAnsiTheme="minorEastAsia" w:cstheme="minorEastAsia" w:hint="eastAsia"/>
          <w:b/>
          <w:bCs/>
          <w:sz w:val="28"/>
          <w:szCs w:val="28"/>
        </w:rPr>
        <w:t xml:space="preserve"> </w:t>
      </w:r>
      <w:r>
        <w:rPr>
          <w:rFonts w:asciiTheme="minorEastAsia" w:eastAsiaTheme="minorEastAsia" w:hAnsiTheme="minorEastAsia" w:cstheme="minorEastAsia" w:hint="eastAsia"/>
          <w:sz w:val="28"/>
          <w:szCs w:val="28"/>
        </w:rPr>
        <w:t>本奖候选人由推荐方式产生。推荐条件满足以下其中一条即可：</w:t>
      </w:r>
    </w:p>
    <w:p w14:paraId="31FF9A85" w14:textId="77777777" w:rsidR="002E3F46" w:rsidRDefault="006E4766">
      <w:pPr>
        <w:adjustRightInd w:val="0"/>
        <w:snapToGrid w:val="0"/>
        <w:spacing w:line="360" w:lineRule="auto"/>
        <w:ind w:firstLine="420"/>
        <w:rPr>
          <w:rFonts w:ascii="宋体" w:eastAsia="宋体" w:hAnsi="宋体"/>
          <w:sz w:val="28"/>
          <w:szCs w:val="28"/>
        </w:rPr>
      </w:pPr>
      <w:r>
        <w:rPr>
          <w:rFonts w:ascii="宋体" w:eastAsia="宋体" w:hAnsi="宋体" w:hint="eastAsia"/>
          <w:sz w:val="28"/>
          <w:szCs w:val="28"/>
        </w:rPr>
        <w:lastRenderedPageBreak/>
        <w:t xml:space="preserve">1. </w:t>
      </w:r>
      <w:r>
        <w:rPr>
          <w:rFonts w:ascii="宋体" w:eastAsia="宋体" w:hAnsi="宋体"/>
          <w:sz w:val="28"/>
          <w:szCs w:val="28"/>
        </w:rPr>
        <w:t>中国数学会理事</w:t>
      </w:r>
    </w:p>
    <w:p w14:paraId="35D7AE51" w14:textId="77777777" w:rsidR="002E3F46" w:rsidRDefault="006E4766">
      <w:pPr>
        <w:adjustRightInd w:val="0"/>
        <w:snapToGrid w:val="0"/>
        <w:spacing w:line="360" w:lineRule="auto"/>
        <w:ind w:firstLine="420"/>
        <w:rPr>
          <w:rFonts w:ascii="宋体" w:eastAsia="宋体" w:hAnsi="宋体"/>
          <w:sz w:val="28"/>
          <w:szCs w:val="28"/>
        </w:rPr>
      </w:pPr>
      <w:r>
        <w:rPr>
          <w:rFonts w:ascii="宋体" w:eastAsia="宋体" w:hAnsi="宋体" w:hint="eastAsia"/>
          <w:sz w:val="28"/>
          <w:szCs w:val="28"/>
        </w:rPr>
        <w:t xml:space="preserve">2. </w:t>
      </w:r>
      <w:r>
        <w:rPr>
          <w:rFonts w:ascii="宋体" w:eastAsia="宋体" w:hAnsi="宋体"/>
          <w:sz w:val="28"/>
          <w:szCs w:val="28"/>
        </w:rPr>
        <w:t>中国数学会分支机构</w:t>
      </w:r>
    </w:p>
    <w:p w14:paraId="2E4736A3" w14:textId="77777777" w:rsidR="002E3F46" w:rsidRDefault="006E4766">
      <w:pPr>
        <w:adjustRightInd w:val="0"/>
        <w:snapToGrid w:val="0"/>
        <w:spacing w:line="360" w:lineRule="auto"/>
        <w:ind w:firstLine="420"/>
        <w:rPr>
          <w:rFonts w:ascii="宋体" w:eastAsia="宋体" w:hAnsi="宋体"/>
          <w:sz w:val="28"/>
          <w:szCs w:val="28"/>
        </w:rPr>
      </w:pPr>
      <w:r>
        <w:rPr>
          <w:rFonts w:ascii="宋体" w:eastAsia="宋体" w:hAnsi="宋体" w:hint="eastAsia"/>
          <w:sz w:val="28"/>
          <w:szCs w:val="28"/>
        </w:rPr>
        <w:t xml:space="preserve">3. </w:t>
      </w:r>
      <w:r>
        <w:rPr>
          <w:rFonts w:ascii="宋体" w:eastAsia="宋体" w:hAnsi="宋体"/>
          <w:sz w:val="28"/>
          <w:szCs w:val="28"/>
        </w:rPr>
        <w:t>省</w:t>
      </w:r>
      <w:r>
        <w:rPr>
          <w:rFonts w:ascii="宋体" w:eastAsia="宋体" w:hAnsi="宋体" w:hint="eastAsia"/>
          <w:sz w:val="28"/>
          <w:szCs w:val="28"/>
        </w:rPr>
        <w:t>级</w:t>
      </w:r>
      <w:r>
        <w:rPr>
          <w:rFonts w:ascii="宋体" w:eastAsia="宋体" w:hAnsi="宋体"/>
          <w:sz w:val="28"/>
          <w:szCs w:val="28"/>
        </w:rPr>
        <w:t>数学会</w:t>
      </w:r>
    </w:p>
    <w:p w14:paraId="7D07E38D" w14:textId="77777777" w:rsidR="002E3F46" w:rsidRDefault="006E4766">
      <w:pPr>
        <w:adjustRightInd w:val="0"/>
        <w:snapToGrid w:val="0"/>
        <w:spacing w:line="360" w:lineRule="auto"/>
        <w:ind w:firstLine="420"/>
        <w:rPr>
          <w:rFonts w:ascii="宋体" w:eastAsia="宋体" w:hAnsi="宋体"/>
          <w:sz w:val="28"/>
          <w:szCs w:val="28"/>
        </w:rPr>
      </w:pPr>
      <w:r>
        <w:rPr>
          <w:rFonts w:ascii="宋体" w:eastAsia="宋体" w:hAnsi="宋体" w:hint="eastAsia"/>
          <w:sz w:val="28"/>
          <w:szCs w:val="28"/>
        </w:rPr>
        <w:t xml:space="preserve">4. </w:t>
      </w:r>
      <w:bookmarkStart w:id="3" w:name="OLE_LINK3"/>
      <w:r>
        <w:rPr>
          <w:rFonts w:ascii="宋体" w:eastAsia="宋体" w:hAnsi="宋体" w:hint="eastAsia"/>
          <w:sz w:val="28"/>
          <w:szCs w:val="28"/>
        </w:rPr>
        <w:t>三</w:t>
      </w:r>
      <w:r>
        <w:rPr>
          <w:rFonts w:ascii="宋体" w:eastAsia="宋体" w:hAnsi="宋体"/>
          <w:sz w:val="28"/>
          <w:szCs w:val="28"/>
        </w:rPr>
        <w:t>名</w:t>
      </w:r>
      <w:r>
        <w:rPr>
          <w:rFonts w:ascii="宋体" w:eastAsia="宋体" w:hAnsi="宋体" w:hint="eastAsia"/>
          <w:sz w:val="28"/>
          <w:szCs w:val="28"/>
        </w:rPr>
        <w:t>或以上</w:t>
      </w:r>
      <w:r>
        <w:rPr>
          <w:rFonts w:ascii="宋体" w:eastAsia="宋体" w:hAnsi="宋体"/>
          <w:sz w:val="28"/>
          <w:szCs w:val="28"/>
        </w:rPr>
        <w:t>同行专家</w:t>
      </w:r>
      <w:r>
        <w:rPr>
          <w:rFonts w:ascii="宋体" w:eastAsia="宋体" w:hAnsi="宋体" w:hint="eastAsia"/>
          <w:sz w:val="28"/>
          <w:szCs w:val="28"/>
        </w:rPr>
        <w:t>（中国数学会会员）</w:t>
      </w:r>
      <w:r>
        <w:rPr>
          <w:rFonts w:ascii="宋体" w:eastAsia="宋体" w:hAnsi="宋体"/>
          <w:sz w:val="28"/>
          <w:szCs w:val="28"/>
        </w:rPr>
        <w:t>可联名推荐</w:t>
      </w:r>
      <w:bookmarkEnd w:id="3"/>
      <w:r>
        <w:rPr>
          <w:rFonts w:ascii="宋体" w:eastAsia="宋体" w:hAnsi="宋体"/>
          <w:sz w:val="28"/>
          <w:szCs w:val="28"/>
        </w:rPr>
        <w:t>。</w:t>
      </w:r>
    </w:p>
    <w:p w14:paraId="32B19E58" w14:textId="77777777" w:rsidR="002E3F46" w:rsidRDefault="006E4766">
      <w:pPr>
        <w:adjustRightInd w:val="0"/>
        <w:snapToGrid w:val="0"/>
        <w:spacing w:line="360" w:lineRule="auto"/>
        <w:rPr>
          <w:rFonts w:ascii="宋体" w:eastAsia="宋体" w:hAnsi="宋体"/>
          <w:sz w:val="28"/>
          <w:szCs w:val="28"/>
        </w:rPr>
      </w:pPr>
      <w:r>
        <w:rPr>
          <w:rFonts w:ascii="宋体" w:eastAsia="宋体" w:hAnsi="宋体" w:hint="eastAsia"/>
          <w:sz w:val="28"/>
          <w:szCs w:val="28"/>
        </w:rPr>
        <w:t>现任评奖委员会委员不能同时作为推荐专家。</w:t>
      </w:r>
    </w:p>
    <w:p w14:paraId="63147533"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第七条</w:t>
      </w:r>
      <w:r>
        <w:rPr>
          <w:rFonts w:asciiTheme="minorEastAsia" w:eastAsiaTheme="minorEastAsia" w:hAnsiTheme="minorEastAsia" w:cstheme="minorEastAsia" w:hint="eastAsia"/>
          <w:kern w:val="2"/>
          <w:sz w:val="28"/>
          <w:szCs w:val="28"/>
        </w:rPr>
        <w:t> </w:t>
      </w:r>
      <w:r>
        <w:rPr>
          <w:rFonts w:asciiTheme="minorEastAsia" w:eastAsiaTheme="minorEastAsia" w:hAnsiTheme="minorEastAsia" w:cstheme="minorEastAsia" w:hint="eastAsia"/>
          <w:kern w:val="2"/>
          <w:sz w:val="28"/>
          <w:szCs w:val="28"/>
        </w:rPr>
        <w:t>本奖推荐材料主要包括推荐表及补充证明材料。</w:t>
      </w:r>
    </w:p>
    <w:p w14:paraId="22E12090"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第八条</w:t>
      </w:r>
      <w:r>
        <w:rPr>
          <w:rFonts w:asciiTheme="minorEastAsia" w:eastAsiaTheme="minorEastAsia" w:hAnsiTheme="minorEastAsia" w:cstheme="minorEastAsia" w:hint="eastAsia"/>
          <w:b/>
          <w:bCs/>
          <w:kern w:val="2"/>
          <w:sz w:val="28"/>
          <w:szCs w:val="28"/>
        </w:rPr>
        <w:t xml:space="preserve"> </w:t>
      </w:r>
      <w:r>
        <w:rPr>
          <w:rFonts w:asciiTheme="minorEastAsia" w:eastAsiaTheme="minorEastAsia" w:hAnsiTheme="minorEastAsia" w:cstheme="minorEastAsia" w:hint="eastAsia"/>
          <w:kern w:val="2"/>
          <w:sz w:val="28"/>
          <w:szCs w:val="28"/>
        </w:rPr>
        <w:t>本奖候选人要求如下：</w:t>
      </w:r>
    </w:p>
    <w:p w14:paraId="31AAF188" w14:textId="77777777" w:rsidR="002E3F46" w:rsidRDefault="006E4766">
      <w:pPr>
        <w:pStyle w:val="a3"/>
        <w:numPr>
          <w:ilvl w:val="0"/>
          <w:numId w:val="1"/>
        </w:numPr>
        <w:adjustRightInd w:val="0"/>
        <w:snapToGrid w:val="0"/>
        <w:spacing w:before="0" w:beforeAutospacing="0" w:after="0" w:afterAutospacing="0" w:line="360" w:lineRule="auto"/>
        <w:rPr>
          <w:rFonts w:asciiTheme="minorEastAsia" w:eastAsiaTheme="minorEastAsia" w:hAnsiTheme="minorEastAsia" w:cstheme="minorEastAsia"/>
          <w:b/>
          <w:bCs/>
          <w:kern w:val="2"/>
          <w:sz w:val="28"/>
          <w:szCs w:val="28"/>
        </w:rPr>
      </w:pPr>
      <w:r>
        <w:rPr>
          <w:rFonts w:asciiTheme="minorEastAsia" w:eastAsiaTheme="minorEastAsia" w:hAnsiTheme="minorEastAsia" w:cstheme="minorEastAsia" w:hint="eastAsia"/>
          <w:kern w:val="2"/>
          <w:sz w:val="28"/>
          <w:szCs w:val="28"/>
        </w:rPr>
        <w:t>中国数学会会员；</w:t>
      </w:r>
    </w:p>
    <w:p w14:paraId="0600B13F" w14:textId="77777777" w:rsidR="002E3F46" w:rsidRDefault="006E4766">
      <w:pPr>
        <w:pStyle w:val="a3"/>
        <w:numPr>
          <w:ilvl w:val="0"/>
          <w:numId w:val="1"/>
        </w:numPr>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在公众数学普及传播方面做出过突出贡献；</w:t>
      </w:r>
    </w:p>
    <w:p w14:paraId="639C7242" w14:textId="77777777" w:rsidR="002E3F46" w:rsidRDefault="006E4766">
      <w:pPr>
        <w:pStyle w:val="a3"/>
        <w:numPr>
          <w:ilvl w:val="0"/>
          <w:numId w:val="1"/>
        </w:numPr>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评奖委员会成员在任期内不得参选。</w:t>
      </w:r>
    </w:p>
    <w:p w14:paraId="03D84CE9"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第九条</w:t>
      </w:r>
      <w:r>
        <w:rPr>
          <w:rFonts w:asciiTheme="minorEastAsia" w:eastAsiaTheme="minorEastAsia" w:hAnsiTheme="minorEastAsia" w:cstheme="minorEastAsia" w:hint="eastAsia"/>
          <w:kern w:val="2"/>
          <w:sz w:val="28"/>
          <w:szCs w:val="28"/>
        </w:rPr>
        <w:t> </w:t>
      </w:r>
      <w:r>
        <w:rPr>
          <w:rFonts w:asciiTheme="minorEastAsia" w:eastAsiaTheme="minorEastAsia" w:hAnsiTheme="minorEastAsia" w:cstheme="minorEastAsia" w:hint="eastAsia"/>
          <w:kern w:val="2"/>
          <w:sz w:val="28"/>
          <w:szCs w:val="28"/>
        </w:rPr>
        <w:t>“光启数学传播奖”由</w:t>
      </w:r>
      <w:r>
        <w:rPr>
          <w:rFonts w:asciiTheme="minorEastAsia" w:eastAsiaTheme="minorEastAsia" w:hAnsiTheme="minorEastAsia" w:cstheme="minorEastAsia" w:hint="eastAsia"/>
          <w:sz w:val="28"/>
          <w:szCs w:val="28"/>
        </w:rPr>
        <w:t>湖南教育出版社</w:t>
      </w:r>
      <w:r>
        <w:rPr>
          <w:rFonts w:asciiTheme="minorEastAsia" w:eastAsiaTheme="minorEastAsia" w:hAnsiTheme="minorEastAsia" w:cstheme="minorEastAsia" w:hint="eastAsia"/>
          <w:kern w:val="2"/>
          <w:sz w:val="28"/>
          <w:szCs w:val="28"/>
        </w:rPr>
        <w:t>提供经费资助。</w:t>
      </w:r>
    </w:p>
    <w:p w14:paraId="1C0B2E95" w14:textId="77777777" w:rsidR="002E3F46" w:rsidRDefault="006E4766">
      <w:pPr>
        <w:pStyle w:val="a3"/>
        <w:adjustRightInd w:val="0"/>
        <w:snapToGrid w:val="0"/>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b/>
          <w:bCs/>
          <w:kern w:val="2"/>
          <w:sz w:val="28"/>
          <w:szCs w:val="28"/>
        </w:rPr>
        <w:t>第十条</w:t>
      </w:r>
      <w:r>
        <w:rPr>
          <w:rFonts w:asciiTheme="minorEastAsia" w:eastAsiaTheme="minorEastAsia" w:hAnsiTheme="minorEastAsia" w:cstheme="minorEastAsia" w:hint="eastAsia"/>
          <w:b/>
          <w:bCs/>
          <w:kern w:val="2"/>
          <w:sz w:val="28"/>
          <w:szCs w:val="28"/>
        </w:rPr>
        <w:t xml:space="preserve"> </w:t>
      </w:r>
      <w:r>
        <w:rPr>
          <w:rFonts w:asciiTheme="minorEastAsia" w:eastAsiaTheme="minorEastAsia" w:hAnsiTheme="minorEastAsia" w:cstheme="minorEastAsia" w:hint="eastAsia"/>
          <w:kern w:val="2"/>
          <w:sz w:val="28"/>
          <w:szCs w:val="28"/>
        </w:rPr>
        <w:t>本奖授奖前须征得授奖对象同意。</w:t>
      </w:r>
    </w:p>
    <w:p w14:paraId="7406DCD9" w14:textId="10C304A8" w:rsidR="002E3F46" w:rsidRDefault="006E4766">
      <w:r>
        <w:rPr>
          <w:rFonts w:asciiTheme="minorEastAsia" w:eastAsiaTheme="minorEastAsia" w:hAnsiTheme="minorEastAsia" w:cstheme="minorEastAsia" w:hint="eastAsia"/>
          <w:b/>
          <w:bCs/>
          <w:sz w:val="28"/>
          <w:szCs w:val="28"/>
        </w:rPr>
        <w:t>第十一条</w:t>
      </w:r>
      <w:r>
        <w:rPr>
          <w:rFonts w:asciiTheme="minorEastAsia" w:eastAsiaTheme="minorEastAsia" w:hAnsiTheme="minorEastAsia" w:cstheme="minorEastAsia" w:hint="eastAsia"/>
          <w:b/>
          <w:bCs/>
          <w:sz w:val="28"/>
          <w:szCs w:val="28"/>
        </w:rPr>
        <w:t xml:space="preserve"> </w:t>
      </w:r>
      <w:r w:rsidR="00730790" w:rsidRPr="00730790">
        <w:rPr>
          <w:rFonts w:asciiTheme="minorEastAsia" w:eastAsiaTheme="minorEastAsia" w:hAnsiTheme="minorEastAsia" w:cstheme="minorEastAsia"/>
          <w:sz w:val="28"/>
          <w:szCs w:val="28"/>
        </w:rPr>
        <w:t>本条例由中国数学会第十四届常务理事会2026年5月11日投票通过。本条例解释权属于中国数学会。</w:t>
      </w:r>
    </w:p>
    <w:sectPr w:rsidR="002E3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FAE70" w14:textId="77777777" w:rsidR="006E4766" w:rsidRDefault="006E4766" w:rsidP="00EB0B7E">
      <w:r>
        <w:separator/>
      </w:r>
    </w:p>
  </w:endnote>
  <w:endnote w:type="continuationSeparator" w:id="0">
    <w:p w14:paraId="3EE0BED3" w14:textId="77777777" w:rsidR="006E4766" w:rsidRDefault="006E4766" w:rsidP="00EB0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138F9" w14:textId="77777777" w:rsidR="006E4766" w:rsidRDefault="006E4766" w:rsidP="00EB0B7E">
      <w:r>
        <w:separator/>
      </w:r>
    </w:p>
  </w:footnote>
  <w:footnote w:type="continuationSeparator" w:id="0">
    <w:p w14:paraId="189B2BFA" w14:textId="77777777" w:rsidR="006E4766" w:rsidRDefault="006E4766" w:rsidP="00EB0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BF6414"/>
    <w:multiLevelType w:val="multilevel"/>
    <w:tmpl w:val="28BF6414"/>
    <w:lvl w:ilvl="0">
      <w:start w:val="1"/>
      <w:numFmt w:val="decimal"/>
      <w:lvlText w:val="%1."/>
      <w:lvlJc w:val="left"/>
      <w:pPr>
        <w:ind w:left="638" w:hanging="360"/>
      </w:pPr>
      <w:rPr>
        <w:rFonts w:hint="default"/>
        <w:b w:val="0"/>
      </w:rPr>
    </w:lvl>
    <w:lvl w:ilvl="1">
      <w:start w:val="1"/>
      <w:numFmt w:val="lowerLetter"/>
      <w:lvlText w:val="%2)"/>
      <w:lvlJc w:val="left"/>
      <w:pPr>
        <w:ind w:left="1158" w:hanging="440"/>
      </w:pPr>
    </w:lvl>
    <w:lvl w:ilvl="2">
      <w:start w:val="1"/>
      <w:numFmt w:val="lowerRoman"/>
      <w:lvlText w:val="%3."/>
      <w:lvlJc w:val="right"/>
      <w:pPr>
        <w:ind w:left="1598" w:hanging="440"/>
      </w:pPr>
    </w:lvl>
    <w:lvl w:ilvl="3">
      <w:start w:val="1"/>
      <w:numFmt w:val="decimal"/>
      <w:lvlText w:val="%4."/>
      <w:lvlJc w:val="left"/>
      <w:pPr>
        <w:ind w:left="2038" w:hanging="440"/>
      </w:pPr>
    </w:lvl>
    <w:lvl w:ilvl="4">
      <w:start w:val="1"/>
      <w:numFmt w:val="lowerLetter"/>
      <w:lvlText w:val="%5)"/>
      <w:lvlJc w:val="left"/>
      <w:pPr>
        <w:ind w:left="2478" w:hanging="440"/>
      </w:pPr>
    </w:lvl>
    <w:lvl w:ilvl="5">
      <w:start w:val="1"/>
      <w:numFmt w:val="lowerRoman"/>
      <w:lvlText w:val="%6."/>
      <w:lvlJc w:val="right"/>
      <w:pPr>
        <w:ind w:left="2918" w:hanging="440"/>
      </w:pPr>
    </w:lvl>
    <w:lvl w:ilvl="6">
      <w:start w:val="1"/>
      <w:numFmt w:val="decimal"/>
      <w:lvlText w:val="%7."/>
      <w:lvlJc w:val="left"/>
      <w:pPr>
        <w:ind w:left="3358" w:hanging="440"/>
      </w:pPr>
    </w:lvl>
    <w:lvl w:ilvl="7">
      <w:start w:val="1"/>
      <w:numFmt w:val="lowerLetter"/>
      <w:lvlText w:val="%8)"/>
      <w:lvlJc w:val="left"/>
      <w:pPr>
        <w:ind w:left="3798" w:hanging="440"/>
      </w:pPr>
    </w:lvl>
    <w:lvl w:ilvl="8">
      <w:start w:val="1"/>
      <w:numFmt w:val="lowerRoman"/>
      <w:lvlText w:val="%9."/>
      <w:lvlJc w:val="right"/>
      <w:pPr>
        <w:ind w:left="4238"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g0ZmZmOTAxYmY3YjJlY2U1Mzc0M2Q0YjIwZTM2MzEifQ=="/>
  </w:docVars>
  <w:rsids>
    <w:rsidRoot w:val="58785337"/>
    <w:rsid w:val="001B0932"/>
    <w:rsid w:val="002E3F46"/>
    <w:rsid w:val="00416F82"/>
    <w:rsid w:val="004B2136"/>
    <w:rsid w:val="006E4766"/>
    <w:rsid w:val="00730790"/>
    <w:rsid w:val="00742222"/>
    <w:rsid w:val="0082321B"/>
    <w:rsid w:val="00847278"/>
    <w:rsid w:val="00B92E13"/>
    <w:rsid w:val="00C4323E"/>
    <w:rsid w:val="00C548B3"/>
    <w:rsid w:val="00EB0B7E"/>
    <w:rsid w:val="00EF220E"/>
    <w:rsid w:val="06451DC1"/>
    <w:rsid w:val="0A56459C"/>
    <w:rsid w:val="16C84A74"/>
    <w:rsid w:val="19271969"/>
    <w:rsid w:val="1F7E6617"/>
    <w:rsid w:val="20B35E4D"/>
    <w:rsid w:val="23C40371"/>
    <w:rsid w:val="250A6257"/>
    <w:rsid w:val="296879F1"/>
    <w:rsid w:val="2AED1FC6"/>
    <w:rsid w:val="33122EA7"/>
    <w:rsid w:val="378C450F"/>
    <w:rsid w:val="38404012"/>
    <w:rsid w:val="3A29010C"/>
    <w:rsid w:val="3ACA050B"/>
    <w:rsid w:val="409273D5"/>
    <w:rsid w:val="412A5860"/>
    <w:rsid w:val="42DB6FE7"/>
    <w:rsid w:val="4AEF13A5"/>
    <w:rsid w:val="4B4D6D1A"/>
    <w:rsid w:val="58785337"/>
    <w:rsid w:val="59B14FC6"/>
    <w:rsid w:val="5A04713E"/>
    <w:rsid w:val="689618A9"/>
    <w:rsid w:val="6A197154"/>
    <w:rsid w:val="6BD85D34"/>
    <w:rsid w:val="6CA64085"/>
    <w:rsid w:val="6CFF4B44"/>
    <w:rsid w:val="6D373892"/>
    <w:rsid w:val="6F1E43A6"/>
    <w:rsid w:val="72457E9C"/>
    <w:rsid w:val="779828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6624"/>
  <w15:docId w15:val="{FCDFA260-D38B-4B1A-93AB-EF5AF58C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DengXian" w:eastAsia="DengXian" w:hAnsi="DengXi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a5"/>
    <w:rsid w:val="00EB0B7E"/>
    <w:pPr>
      <w:tabs>
        <w:tab w:val="center" w:pos="4153"/>
        <w:tab w:val="right" w:pos="8306"/>
      </w:tabs>
      <w:snapToGrid w:val="0"/>
      <w:jc w:val="center"/>
    </w:pPr>
    <w:rPr>
      <w:sz w:val="18"/>
      <w:szCs w:val="18"/>
    </w:rPr>
  </w:style>
  <w:style w:type="character" w:customStyle="1" w:styleId="a5">
    <w:name w:val="页眉 字符"/>
    <w:basedOn w:val="a0"/>
    <w:link w:val="a4"/>
    <w:rsid w:val="00EB0B7E"/>
    <w:rPr>
      <w:rFonts w:ascii="DengXian" w:eastAsia="DengXian" w:hAnsi="DengXian" w:cs="Times New Roman"/>
      <w:kern w:val="2"/>
      <w:sz w:val="18"/>
      <w:szCs w:val="18"/>
    </w:rPr>
  </w:style>
  <w:style w:type="paragraph" w:styleId="a6">
    <w:name w:val="footer"/>
    <w:basedOn w:val="a"/>
    <w:link w:val="a7"/>
    <w:rsid w:val="00EB0B7E"/>
    <w:pPr>
      <w:tabs>
        <w:tab w:val="center" w:pos="4153"/>
        <w:tab w:val="right" w:pos="8306"/>
      </w:tabs>
      <w:snapToGrid w:val="0"/>
      <w:jc w:val="left"/>
    </w:pPr>
    <w:rPr>
      <w:sz w:val="18"/>
      <w:szCs w:val="18"/>
    </w:rPr>
  </w:style>
  <w:style w:type="character" w:customStyle="1" w:styleId="a7">
    <w:name w:val="页脚 字符"/>
    <w:basedOn w:val="a0"/>
    <w:link w:val="a6"/>
    <w:rsid w:val="00EB0B7E"/>
    <w:rPr>
      <w:rFonts w:ascii="DengXian" w:eastAsia="DengXian" w:hAnsi="DengXi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129</Words>
  <Characters>740</Characters>
  <Application>Microsoft Office Word</Application>
  <DocSecurity>0</DocSecurity>
  <Lines>6</Lines>
  <Paragraphs>1</Paragraphs>
  <ScaleCrop>false</ScaleCrop>
  <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dc:creator>
  <cp:lastModifiedBy>Microsoft Office User</cp:lastModifiedBy>
  <cp:revision>5</cp:revision>
  <cp:lastPrinted>2026-05-11T06:49:00Z</cp:lastPrinted>
  <dcterms:created xsi:type="dcterms:W3CDTF">2026-04-28T07:55:00Z</dcterms:created>
  <dcterms:modified xsi:type="dcterms:W3CDTF">2026-05-11T06:49:00Z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23E089AB79784859B5871E90810364A2</vt:lpwstr>
  </property>
</Properties>
</file>